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EECB87" w14:textId="719B3F6D" w:rsidR="00F7674A" w:rsidRPr="00573A9E" w:rsidRDefault="00573A9E">
      <w:pPr>
        <w:rPr>
          <w:b/>
          <w:bCs/>
          <w:sz w:val="32"/>
          <w:szCs w:val="32"/>
          <w:u w:val="single"/>
        </w:rPr>
      </w:pPr>
      <w:r w:rsidRPr="00573A9E">
        <w:rPr>
          <w:b/>
          <w:bCs/>
          <w:sz w:val="32"/>
          <w:szCs w:val="32"/>
          <w:u w:val="single"/>
        </w:rPr>
        <w:t xml:space="preserve">NCETM – Five big ideas in teaching for mastery </w:t>
      </w:r>
    </w:p>
    <w:p w14:paraId="1D580A92" w14:textId="40988235" w:rsidR="00573A9E" w:rsidRDefault="00573A9E">
      <w:pPr>
        <w:rPr>
          <w:b/>
          <w:bCs/>
          <w:sz w:val="32"/>
          <w:szCs w:val="32"/>
          <w:u w:val="single"/>
        </w:rPr>
      </w:pPr>
      <w:r w:rsidRPr="00573A9E">
        <w:rPr>
          <w:b/>
          <w:bCs/>
          <w:sz w:val="32"/>
          <w:szCs w:val="32"/>
          <w:u w:val="single"/>
        </w:rPr>
        <w:t xml:space="preserve">The fundamental characteristics that underpin teaching for mastery </w:t>
      </w:r>
    </w:p>
    <w:p w14:paraId="53D9A313" w14:textId="77777777" w:rsidR="00573A9E" w:rsidRPr="00573A9E" w:rsidRDefault="00573A9E" w:rsidP="00573A9E">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573A9E">
        <w:rPr>
          <w:rFonts w:ascii="Muli" w:eastAsia="Times New Roman" w:hAnsi="Muli" w:cs="Times New Roman"/>
          <w:color w:val="2D374B"/>
          <w:kern w:val="0"/>
          <w:lang w:eastAsia="en-GB"/>
          <w14:ligatures w14:val="none"/>
        </w:rPr>
        <w:t>A true understanding of these ideas needs discussion with other teachers and an exploration of how the ideas are reflected in day-to-day maths teaching. On this page we share a flavour of what lies behind them.</w:t>
      </w:r>
    </w:p>
    <w:p w14:paraId="5F51F906" w14:textId="77777777" w:rsidR="00573A9E" w:rsidRPr="00573A9E" w:rsidRDefault="00573A9E" w:rsidP="00573A9E">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573A9E">
        <w:rPr>
          <w:rFonts w:ascii="Muli" w:eastAsia="Times New Roman" w:hAnsi="Muli" w:cs="Times New Roman"/>
          <w:color w:val="2D374B"/>
          <w:kern w:val="0"/>
          <w:lang w:eastAsia="en-GB"/>
          <w14:ligatures w14:val="none"/>
        </w:rPr>
        <w:t>For an introduction which focuses on the Five Big Ideas in Teaching for Mastery, with an emphasis on secondary maths, our </w:t>
      </w:r>
      <w:hyperlink r:id="rId5" w:tooltip="An Introduction to the Five Big Ideas at Secondary" w:history="1">
        <w:r w:rsidRPr="00573A9E">
          <w:rPr>
            <w:rFonts w:ascii="Muli" w:eastAsia="Times New Roman" w:hAnsi="Muli" w:cs="Times New Roman"/>
            <w:b/>
            <w:bCs/>
            <w:color w:val="585858"/>
            <w:kern w:val="0"/>
            <w:lang w:eastAsia="en-GB"/>
            <w14:ligatures w14:val="none"/>
          </w:rPr>
          <w:t>feature</w:t>
        </w:r>
      </w:hyperlink>
      <w:r w:rsidRPr="00573A9E">
        <w:rPr>
          <w:rFonts w:ascii="Muli" w:eastAsia="Times New Roman" w:hAnsi="Muli" w:cs="Times New Roman"/>
          <w:color w:val="2D374B"/>
          <w:kern w:val="0"/>
          <w:lang w:eastAsia="en-GB"/>
          <w14:ligatures w14:val="none"/>
        </w:rPr>
        <w:t> includes a Q&amp;A with Carol Knights, Director for Secondary.</w:t>
      </w:r>
    </w:p>
    <w:p w14:paraId="66CB5550" w14:textId="77777777" w:rsidR="00573A9E" w:rsidRPr="00573A9E" w:rsidRDefault="00573A9E" w:rsidP="00573A9E">
      <w:pPr>
        <w:shd w:val="clear" w:color="auto" w:fill="FFFFFF"/>
        <w:spacing w:after="100" w:afterAutospacing="1" w:line="240" w:lineRule="auto"/>
        <w:outlineLvl w:val="2"/>
        <w:rPr>
          <w:rFonts w:ascii="Muli" w:eastAsia="Times New Roman" w:hAnsi="Muli" w:cs="Times New Roman"/>
          <w:b/>
          <w:bCs/>
          <w:color w:val="2D374B"/>
          <w:kern w:val="0"/>
          <w:sz w:val="27"/>
          <w:szCs w:val="27"/>
          <w:lang w:eastAsia="en-GB"/>
          <w14:ligatures w14:val="none"/>
        </w:rPr>
      </w:pPr>
      <w:r w:rsidRPr="00573A9E">
        <w:rPr>
          <w:rFonts w:ascii="Muli" w:eastAsia="Times New Roman" w:hAnsi="Muli" w:cs="Times New Roman"/>
          <w:b/>
          <w:bCs/>
          <w:color w:val="2D374B"/>
          <w:kern w:val="0"/>
          <w:sz w:val="27"/>
          <w:szCs w:val="27"/>
          <w:lang w:eastAsia="en-GB"/>
          <w14:ligatures w14:val="none"/>
        </w:rPr>
        <w:t>Coherence</w:t>
      </w:r>
    </w:p>
    <w:p w14:paraId="2194BAC0" w14:textId="77777777" w:rsidR="00573A9E" w:rsidRPr="00573A9E" w:rsidRDefault="00573A9E" w:rsidP="00573A9E">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573A9E">
        <w:rPr>
          <w:rFonts w:ascii="Muli" w:eastAsia="Times New Roman" w:hAnsi="Muli" w:cs="Times New Roman"/>
          <w:color w:val="2D374B"/>
          <w:kern w:val="0"/>
          <w:lang w:eastAsia="en-GB"/>
          <w14:ligatures w14:val="none"/>
        </w:rPr>
        <w:t>Teaching is designed to enable a coherent learning progression through the curriculum, providing access for all pupils to develop a deep and connected understanding of mathematics that they can apply and communicate in a range of contexts.</w:t>
      </w:r>
    </w:p>
    <w:p w14:paraId="61CD25AC" w14:textId="77777777" w:rsidR="00573A9E" w:rsidRPr="00573A9E" w:rsidRDefault="00573A9E" w:rsidP="00573A9E">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573A9E">
        <w:rPr>
          <w:rFonts w:ascii="Muli" w:eastAsia="Times New Roman" w:hAnsi="Muli" w:cs="Times New Roman"/>
          <w:color w:val="2D374B"/>
          <w:kern w:val="0"/>
          <w:lang w:eastAsia="en-GB"/>
          <w14:ligatures w14:val="none"/>
        </w:rPr>
        <w:t>Want to know more about Coherence in the primary classroom? Our </w:t>
      </w:r>
      <w:hyperlink r:id="rId6" w:tooltip="The Five Big Ideas – Coherence" w:history="1">
        <w:r w:rsidRPr="00573A9E">
          <w:rPr>
            <w:rFonts w:ascii="Muli" w:eastAsia="Times New Roman" w:hAnsi="Muli" w:cs="Times New Roman"/>
            <w:b/>
            <w:bCs/>
            <w:color w:val="585858"/>
            <w:kern w:val="0"/>
            <w:lang w:eastAsia="en-GB"/>
            <w14:ligatures w14:val="none"/>
          </w:rPr>
          <w:t>feature</w:t>
        </w:r>
      </w:hyperlink>
      <w:r w:rsidRPr="00573A9E">
        <w:rPr>
          <w:rFonts w:ascii="Muli" w:eastAsia="Times New Roman" w:hAnsi="Muli" w:cs="Times New Roman"/>
          <w:color w:val="2D374B"/>
          <w:kern w:val="0"/>
          <w:lang w:eastAsia="en-GB"/>
          <w14:ligatures w14:val="none"/>
        </w:rPr>
        <w:t> includes a Q&amp;A with Debbie Morgan, and a short explainer video.</w:t>
      </w:r>
    </w:p>
    <w:p w14:paraId="162B3418" w14:textId="77777777" w:rsidR="00573A9E" w:rsidRPr="00573A9E" w:rsidRDefault="00573A9E" w:rsidP="00573A9E">
      <w:pPr>
        <w:shd w:val="clear" w:color="auto" w:fill="FFFFFF"/>
        <w:spacing w:after="100" w:afterAutospacing="1" w:line="240" w:lineRule="auto"/>
        <w:outlineLvl w:val="2"/>
        <w:rPr>
          <w:rFonts w:ascii="Muli" w:eastAsia="Times New Roman" w:hAnsi="Muli" w:cs="Times New Roman"/>
          <w:b/>
          <w:bCs/>
          <w:color w:val="2D374B"/>
          <w:kern w:val="0"/>
          <w:sz w:val="27"/>
          <w:szCs w:val="27"/>
          <w:lang w:eastAsia="en-GB"/>
          <w14:ligatures w14:val="none"/>
        </w:rPr>
      </w:pPr>
      <w:r w:rsidRPr="00573A9E">
        <w:rPr>
          <w:rFonts w:ascii="Muli" w:eastAsia="Times New Roman" w:hAnsi="Muli" w:cs="Times New Roman"/>
          <w:b/>
          <w:bCs/>
          <w:color w:val="2D374B"/>
          <w:kern w:val="0"/>
          <w:sz w:val="27"/>
          <w:szCs w:val="27"/>
          <w:lang w:eastAsia="en-GB"/>
          <w14:ligatures w14:val="none"/>
        </w:rPr>
        <w:t>Representation and Structure</w:t>
      </w:r>
    </w:p>
    <w:p w14:paraId="127A32D2" w14:textId="77777777" w:rsidR="00573A9E" w:rsidRPr="00573A9E" w:rsidRDefault="00573A9E" w:rsidP="00573A9E">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573A9E">
        <w:rPr>
          <w:rFonts w:ascii="Muli" w:eastAsia="Times New Roman" w:hAnsi="Muli" w:cs="Times New Roman"/>
          <w:color w:val="2D374B"/>
          <w:kern w:val="0"/>
          <w:lang w:eastAsia="en-GB"/>
          <w14:ligatures w14:val="none"/>
        </w:rPr>
        <w:t>Teachers carefully select representations of mathematics to expose mathematical structure. The intention is to support pupils in ‘seeing’ the mathematics, rather than using the representation as a tool to ‘do’ the mathematics. These representations become mental images that students can use to think about and discuss mathematics, supporting them to achieve a deep understanding of mathematical structures and connections.</w:t>
      </w:r>
    </w:p>
    <w:p w14:paraId="74FC5B4E" w14:textId="77777777" w:rsidR="00573A9E" w:rsidRPr="00573A9E" w:rsidRDefault="00573A9E" w:rsidP="00573A9E">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573A9E">
        <w:rPr>
          <w:rFonts w:ascii="Muli" w:eastAsia="Times New Roman" w:hAnsi="Muli" w:cs="Times New Roman"/>
          <w:color w:val="2D374B"/>
          <w:kern w:val="0"/>
          <w:lang w:eastAsia="en-GB"/>
          <w14:ligatures w14:val="none"/>
        </w:rPr>
        <w:t>Want to know more about Representation and Structure in the primary classroom? Our </w:t>
      </w:r>
      <w:hyperlink r:id="rId7" w:tooltip="The Five Big Ideas - Representation and Structure" w:history="1">
        <w:r w:rsidRPr="00573A9E">
          <w:rPr>
            <w:rFonts w:ascii="Muli" w:eastAsia="Times New Roman" w:hAnsi="Muli" w:cs="Times New Roman"/>
            <w:b/>
            <w:bCs/>
            <w:color w:val="585858"/>
            <w:kern w:val="0"/>
            <w:lang w:eastAsia="en-GB"/>
            <w14:ligatures w14:val="none"/>
          </w:rPr>
          <w:t>feature</w:t>
        </w:r>
      </w:hyperlink>
      <w:r w:rsidRPr="00573A9E">
        <w:rPr>
          <w:rFonts w:ascii="Muli" w:eastAsia="Times New Roman" w:hAnsi="Muli" w:cs="Times New Roman"/>
          <w:color w:val="2D374B"/>
          <w:kern w:val="0"/>
          <w:lang w:eastAsia="en-GB"/>
          <w14:ligatures w14:val="none"/>
        </w:rPr>
        <w:t> includes a Q&amp;A with Debbie Morgan, and a short explainer video.</w:t>
      </w:r>
    </w:p>
    <w:p w14:paraId="1047C84F" w14:textId="77777777" w:rsidR="00573A9E" w:rsidRPr="00573A9E" w:rsidRDefault="00573A9E" w:rsidP="00573A9E">
      <w:pPr>
        <w:shd w:val="clear" w:color="auto" w:fill="FFFFFF"/>
        <w:spacing w:after="100" w:afterAutospacing="1" w:line="240" w:lineRule="auto"/>
        <w:outlineLvl w:val="2"/>
        <w:rPr>
          <w:rFonts w:ascii="Muli" w:eastAsia="Times New Roman" w:hAnsi="Muli" w:cs="Times New Roman"/>
          <w:b/>
          <w:bCs/>
          <w:color w:val="2D374B"/>
          <w:kern w:val="0"/>
          <w:sz w:val="27"/>
          <w:szCs w:val="27"/>
          <w:lang w:eastAsia="en-GB"/>
          <w14:ligatures w14:val="none"/>
        </w:rPr>
      </w:pPr>
      <w:r w:rsidRPr="00573A9E">
        <w:rPr>
          <w:rFonts w:ascii="Muli" w:eastAsia="Times New Roman" w:hAnsi="Muli" w:cs="Times New Roman"/>
          <w:b/>
          <w:bCs/>
          <w:color w:val="2D374B"/>
          <w:kern w:val="0"/>
          <w:sz w:val="27"/>
          <w:szCs w:val="27"/>
          <w:lang w:eastAsia="en-GB"/>
          <w14:ligatures w14:val="none"/>
        </w:rPr>
        <w:t>Mathematical Thinking</w:t>
      </w:r>
    </w:p>
    <w:p w14:paraId="2CDC33AD" w14:textId="77777777" w:rsidR="00573A9E" w:rsidRPr="00573A9E" w:rsidRDefault="00573A9E" w:rsidP="00573A9E">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573A9E">
        <w:rPr>
          <w:rFonts w:ascii="Muli" w:eastAsia="Times New Roman" w:hAnsi="Muli" w:cs="Times New Roman"/>
          <w:color w:val="2D374B"/>
          <w:kern w:val="0"/>
          <w:lang w:eastAsia="en-GB"/>
          <w14:ligatures w14:val="none"/>
        </w:rPr>
        <w:t>Mathematical Thinking is central to how pupils learn mathematics and includes looking for patterns and relationships, making connections, conjecturing, reasoning, and generalising. Pupils should actively engage in mathematical thinking in all lessons, discussing and communicating their ideas using precise mathematical language.</w:t>
      </w:r>
    </w:p>
    <w:p w14:paraId="16B73770" w14:textId="77777777" w:rsidR="00573A9E" w:rsidRPr="00573A9E" w:rsidRDefault="00573A9E" w:rsidP="00573A9E">
      <w:pPr>
        <w:shd w:val="clear" w:color="auto" w:fill="FFFFFF"/>
        <w:spacing w:after="100" w:afterAutospacing="1" w:line="240" w:lineRule="auto"/>
        <w:outlineLvl w:val="2"/>
        <w:rPr>
          <w:rFonts w:ascii="Muli" w:eastAsia="Times New Roman" w:hAnsi="Muli" w:cs="Times New Roman"/>
          <w:b/>
          <w:bCs/>
          <w:color w:val="2D374B"/>
          <w:kern w:val="0"/>
          <w:sz w:val="27"/>
          <w:szCs w:val="27"/>
          <w:lang w:eastAsia="en-GB"/>
          <w14:ligatures w14:val="none"/>
        </w:rPr>
      </w:pPr>
      <w:r w:rsidRPr="00573A9E">
        <w:rPr>
          <w:rFonts w:ascii="Muli" w:eastAsia="Times New Roman" w:hAnsi="Muli" w:cs="Times New Roman"/>
          <w:b/>
          <w:bCs/>
          <w:color w:val="2D374B"/>
          <w:kern w:val="0"/>
          <w:sz w:val="27"/>
          <w:szCs w:val="27"/>
          <w:lang w:eastAsia="en-GB"/>
          <w14:ligatures w14:val="none"/>
        </w:rPr>
        <w:t>Fluency</w:t>
      </w:r>
    </w:p>
    <w:p w14:paraId="0DD67106" w14:textId="77777777" w:rsidR="00573A9E" w:rsidRPr="00573A9E" w:rsidRDefault="00573A9E" w:rsidP="00573A9E">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573A9E">
        <w:rPr>
          <w:rFonts w:ascii="Muli" w:eastAsia="Times New Roman" w:hAnsi="Muli" w:cs="Times New Roman"/>
          <w:color w:val="2D374B"/>
          <w:kern w:val="0"/>
          <w:lang w:eastAsia="en-GB"/>
          <w14:ligatures w14:val="none"/>
        </w:rPr>
        <w:t xml:space="preserve">Efficient, accurate recall of key number facts and procedures is essential for fluency, freeing pupils’ minds to think deeply about concepts and problems, but fluency demands more than this. It requires pupils to have the flexibility to move between different contexts and representations of mathematics, to recognise relationships and </w:t>
      </w:r>
      <w:r w:rsidRPr="00573A9E">
        <w:rPr>
          <w:rFonts w:ascii="Muli" w:eastAsia="Times New Roman" w:hAnsi="Muli" w:cs="Times New Roman"/>
          <w:color w:val="2D374B"/>
          <w:kern w:val="0"/>
          <w:lang w:eastAsia="en-GB"/>
          <w14:ligatures w14:val="none"/>
        </w:rPr>
        <w:lastRenderedPageBreak/>
        <w:t>make connections, to explain their ideas and to choose appropriate methods and strategies to solve problems.</w:t>
      </w:r>
    </w:p>
    <w:p w14:paraId="76BAA288" w14:textId="77777777" w:rsidR="00573A9E" w:rsidRPr="00573A9E" w:rsidRDefault="00573A9E" w:rsidP="00573A9E">
      <w:pPr>
        <w:shd w:val="clear" w:color="auto" w:fill="FFFFFF"/>
        <w:spacing w:after="100" w:afterAutospacing="1" w:line="240" w:lineRule="auto"/>
        <w:outlineLvl w:val="2"/>
        <w:rPr>
          <w:rFonts w:ascii="Muli" w:eastAsia="Times New Roman" w:hAnsi="Muli" w:cs="Times New Roman"/>
          <w:b/>
          <w:bCs/>
          <w:color w:val="2D374B"/>
          <w:kern w:val="0"/>
          <w:sz w:val="27"/>
          <w:szCs w:val="27"/>
          <w:lang w:eastAsia="en-GB"/>
          <w14:ligatures w14:val="none"/>
        </w:rPr>
      </w:pPr>
      <w:r w:rsidRPr="00573A9E">
        <w:rPr>
          <w:rFonts w:ascii="Muli" w:eastAsia="Times New Roman" w:hAnsi="Muli" w:cs="Times New Roman"/>
          <w:b/>
          <w:bCs/>
          <w:color w:val="2D374B"/>
          <w:kern w:val="0"/>
          <w:sz w:val="27"/>
          <w:szCs w:val="27"/>
          <w:lang w:eastAsia="en-GB"/>
          <w14:ligatures w14:val="none"/>
        </w:rPr>
        <w:t>Variation</w:t>
      </w:r>
    </w:p>
    <w:p w14:paraId="70FA33D0" w14:textId="77777777" w:rsidR="00573A9E" w:rsidRPr="00573A9E" w:rsidRDefault="00573A9E" w:rsidP="00573A9E">
      <w:pPr>
        <w:shd w:val="clear" w:color="auto" w:fill="FFFFFF"/>
        <w:spacing w:after="100" w:afterAutospacing="1" w:line="240" w:lineRule="auto"/>
        <w:rPr>
          <w:rFonts w:ascii="Muli" w:eastAsia="Times New Roman" w:hAnsi="Muli" w:cs="Times New Roman"/>
          <w:color w:val="2D374B"/>
          <w:kern w:val="0"/>
          <w:lang w:eastAsia="en-GB"/>
          <w14:ligatures w14:val="none"/>
        </w:rPr>
      </w:pPr>
      <w:r w:rsidRPr="00573A9E">
        <w:rPr>
          <w:rFonts w:ascii="Muli" w:eastAsia="Times New Roman" w:hAnsi="Muli" w:cs="Times New Roman"/>
          <w:color w:val="2D374B"/>
          <w:kern w:val="0"/>
          <w:lang w:eastAsia="en-GB"/>
          <w14:ligatures w14:val="none"/>
        </w:rPr>
        <w:t>The purpose of variation is to draw closer attention to a key feature of a mathematical concept or structure through varying some elements while keeping others constant. Through variation the teacher focuses thinking and discussion on the key feature in question.</w:t>
      </w:r>
    </w:p>
    <w:p w14:paraId="49A2AEDE" w14:textId="77777777" w:rsidR="00573A9E" w:rsidRPr="00573A9E" w:rsidRDefault="00573A9E" w:rsidP="00573A9E">
      <w:pPr>
        <w:numPr>
          <w:ilvl w:val="0"/>
          <w:numId w:val="1"/>
        </w:numPr>
        <w:shd w:val="clear" w:color="auto" w:fill="FFFFFF"/>
        <w:spacing w:before="100" w:beforeAutospacing="1" w:after="100" w:afterAutospacing="1" w:line="240" w:lineRule="auto"/>
        <w:rPr>
          <w:rFonts w:ascii="Muli" w:eastAsia="Times New Roman" w:hAnsi="Muli" w:cs="Times New Roman"/>
          <w:color w:val="2D374B"/>
          <w:kern w:val="0"/>
          <w:lang w:eastAsia="en-GB"/>
          <w14:ligatures w14:val="none"/>
        </w:rPr>
      </w:pPr>
      <w:r w:rsidRPr="00573A9E">
        <w:rPr>
          <w:rFonts w:ascii="Muli" w:eastAsia="Times New Roman" w:hAnsi="Muli" w:cs="Times New Roman"/>
          <w:color w:val="2D374B"/>
          <w:kern w:val="0"/>
          <w:lang w:eastAsia="en-GB"/>
          <w14:ligatures w14:val="none"/>
        </w:rPr>
        <w:t>Conceptual variation involves varying how a concept is represented to draw attention to critical features. Often more than one representation is required to look at the concept from different perspectives and gain comprehensive knowledge.</w:t>
      </w:r>
    </w:p>
    <w:p w14:paraId="011B61AE" w14:textId="77777777" w:rsidR="00573A9E" w:rsidRPr="00573A9E" w:rsidRDefault="00573A9E" w:rsidP="00573A9E">
      <w:pPr>
        <w:numPr>
          <w:ilvl w:val="0"/>
          <w:numId w:val="1"/>
        </w:numPr>
        <w:shd w:val="clear" w:color="auto" w:fill="FFFFFF"/>
        <w:spacing w:before="100" w:beforeAutospacing="1" w:after="100" w:afterAutospacing="1" w:line="240" w:lineRule="auto"/>
        <w:rPr>
          <w:rFonts w:ascii="Muli" w:eastAsia="Times New Roman" w:hAnsi="Muli" w:cs="Times New Roman"/>
          <w:color w:val="2D374B"/>
          <w:kern w:val="0"/>
          <w:lang w:eastAsia="en-GB"/>
          <w14:ligatures w14:val="none"/>
        </w:rPr>
      </w:pPr>
      <w:r w:rsidRPr="00573A9E">
        <w:rPr>
          <w:rFonts w:ascii="Muli" w:eastAsia="Times New Roman" w:hAnsi="Muli" w:cs="Times New Roman"/>
          <w:color w:val="2D374B"/>
          <w:kern w:val="0"/>
          <w:lang w:eastAsia="en-GB"/>
          <w14:ligatures w14:val="none"/>
        </w:rPr>
        <w:t>Procedural variation considers how the student will ‘proceed’ through a learning sequence. Purposeful changes are made in order that pupils’ attention is drawn to key features of the mathematics, scaffolding students’ thinking to enable them to reason logically and make connections.</w:t>
      </w:r>
    </w:p>
    <w:p w14:paraId="15EFE5EA" w14:textId="77777777" w:rsidR="00573A9E" w:rsidRPr="00573A9E" w:rsidRDefault="00573A9E">
      <w:pPr>
        <w:rPr>
          <w:b/>
          <w:bCs/>
          <w:sz w:val="32"/>
          <w:szCs w:val="32"/>
          <w:u w:val="single"/>
        </w:rPr>
      </w:pPr>
    </w:p>
    <w:sectPr w:rsidR="00573A9E" w:rsidRPr="00573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ul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250FAB"/>
    <w:multiLevelType w:val="multilevel"/>
    <w:tmpl w:val="6F8E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774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A9E"/>
    <w:rsid w:val="00573A9E"/>
    <w:rsid w:val="00734A73"/>
    <w:rsid w:val="00E432BD"/>
    <w:rsid w:val="00F76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19014"/>
  <w15:chartTrackingRefBased/>
  <w15:docId w15:val="{D33C56D0-905C-4EBA-9307-EE2B3426B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A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3A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3A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3A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3A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3A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3A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3A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3A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A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3A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3A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3A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3A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3A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3A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3A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3A9E"/>
    <w:rPr>
      <w:rFonts w:eastAsiaTheme="majorEastAsia" w:cstheme="majorBidi"/>
      <w:color w:val="272727" w:themeColor="text1" w:themeTint="D8"/>
    </w:rPr>
  </w:style>
  <w:style w:type="paragraph" w:styleId="Title">
    <w:name w:val="Title"/>
    <w:basedOn w:val="Normal"/>
    <w:next w:val="Normal"/>
    <w:link w:val="TitleChar"/>
    <w:uiPriority w:val="10"/>
    <w:qFormat/>
    <w:rsid w:val="00573A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3A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3A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3A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3A9E"/>
    <w:pPr>
      <w:spacing w:before="160"/>
      <w:jc w:val="center"/>
    </w:pPr>
    <w:rPr>
      <w:i/>
      <w:iCs/>
      <w:color w:val="404040" w:themeColor="text1" w:themeTint="BF"/>
    </w:rPr>
  </w:style>
  <w:style w:type="character" w:customStyle="1" w:styleId="QuoteChar">
    <w:name w:val="Quote Char"/>
    <w:basedOn w:val="DefaultParagraphFont"/>
    <w:link w:val="Quote"/>
    <w:uiPriority w:val="29"/>
    <w:rsid w:val="00573A9E"/>
    <w:rPr>
      <w:i/>
      <w:iCs/>
      <w:color w:val="404040" w:themeColor="text1" w:themeTint="BF"/>
    </w:rPr>
  </w:style>
  <w:style w:type="paragraph" w:styleId="ListParagraph">
    <w:name w:val="List Paragraph"/>
    <w:basedOn w:val="Normal"/>
    <w:uiPriority w:val="34"/>
    <w:qFormat/>
    <w:rsid w:val="00573A9E"/>
    <w:pPr>
      <w:ind w:left="720"/>
      <w:contextualSpacing/>
    </w:pPr>
  </w:style>
  <w:style w:type="character" w:styleId="IntenseEmphasis">
    <w:name w:val="Intense Emphasis"/>
    <w:basedOn w:val="DefaultParagraphFont"/>
    <w:uiPriority w:val="21"/>
    <w:qFormat/>
    <w:rsid w:val="00573A9E"/>
    <w:rPr>
      <w:i/>
      <w:iCs/>
      <w:color w:val="0F4761" w:themeColor="accent1" w:themeShade="BF"/>
    </w:rPr>
  </w:style>
  <w:style w:type="paragraph" w:styleId="IntenseQuote">
    <w:name w:val="Intense Quote"/>
    <w:basedOn w:val="Normal"/>
    <w:next w:val="Normal"/>
    <w:link w:val="IntenseQuoteChar"/>
    <w:uiPriority w:val="30"/>
    <w:qFormat/>
    <w:rsid w:val="00573A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3A9E"/>
    <w:rPr>
      <w:i/>
      <w:iCs/>
      <w:color w:val="0F4761" w:themeColor="accent1" w:themeShade="BF"/>
    </w:rPr>
  </w:style>
  <w:style w:type="character" w:styleId="IntenseReference">
    <w:name w:val="Intense Reference"/>
    <w:basedOn w:val="DefaultParagraphFont"/>
    <w:uiPriority w:val="32"/>
    <w:qFormat/>
    <w:rsid w:val="00573A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48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etm.org.uk/features/the-five-big-ideas-representation-and-struc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etm.org.uk/features/the-five-big-ideas-coherence/" TargetMode="External"/><Relationship Id="rId5" Type="http://schemas.openxmlformats.org/officeDocument/2006/relationships/hyperlink" Target="https://www.ncetm.org.uk/features/an-introduction-to-the-five-big-ideas-at-secondar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528</Words>
  <Characters>3010</Characters>
  <Application>Microsoft Office Word</Application>
  <DocSecurity>0</DocSecurity>
  <Lines>25</Lines>
  <Paragraphs>7</Paragraphs>
  <ScaleCrop>false</ScaleCrop>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Popham</dc:creator>
  <cp:keywords/>
  <dc:description/>
  <cp:lastModifiedBy>Victoria Popham</cp:lastModifiedBy>
  <cp:revision>1</cp:revision>
  <dcterms:created xsi:type="dcterms:W3CDTF">2024-09-29T19:45:00Z</dcterms:created>
  <dcterms:modified xsi:type="dcterms:W3CDTF">2024-09-29T19:49:00Z</dcterms:modified>
</cp:coreProperties>
</file>